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7117EC72"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106</w:t>
      </w:r>
      <w:r w:rsidR="000E1FA7">
        <w:rPr>
          <w:rFonts w:ascii="Arial" w:hAnsi="Arial" w:cs="Arial"/>
          <w:b/>
          <w:sz w:val="24"/>
        </w:rPr>
        <w:t>bis-e</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Pr>
          <w:rFonts w:ascii="Arial" w:hAnsi="Arial" w:cs="Arial"/>
          <w:b/>
          <w:sz w:val="24"/>
        </w:rPr>
        <w:t>2</w:t>
      </w:r>
      <w:r w:rsidR="00042AAB">
        <w:rPr>
          <w:rFonts w:ascii="Arial" w:hAnsi="Arial" w:cs="Arial"/>
          <w:b/>
          <w:sz w:val="24"/>
        </w:rPr>
        <w:t>30</w:t>
      </w:r>
      <w:r w:rsidR="00161412">
        <w:rPr>
          <w:rFonts w:ascii="Arial" w:hAnsi="Arial" w:cs="Arial"/>
          <w:b/>
          <w:sz w:val="24"/>
        </w:rPr>
        <w:t>5502</w:t>
      </w:r>
      <w:r w:rsidR="00F40C55">
        <w:rPr>
          <w:rFonts w:ascii="Arial" w:hAnsi="Arial" w:cs="Arial"/>
          <w:b/>
          <w:sz w:val="24"/>
        </w:rPr>
        <w:t xml:space="preserve"> </w:t>
      </w:r>
      <w:r w:rsidR="00FD51BE">
        <w:rPr>
          <w:rFonts w:ascii="Arial" w:hAnsi="Arial" w:cs="Arial"/>
          <w:b/>
          <w:sz w:val="24"/>
        </w:rPr>
        <w:t>Online</w:t>
      </w:r>
      <w:r w:rsidR="00042AAB">
        <w:rPr>
          <w:rFonts w:ascii="Arial" w:hAnsi="Arial" w:cs="Arial"/>
          <w:b/>
          <w:sz w:val="24"/>
        </w:rPr>
        <w:t>,</w:t>
      </w:r>
      <w:r w:rsidRPr="00346CA9">
        <w:rPr>
          <w:rFonts w:ascii="Arial" w:hAnsi="Arial" w:cs="Arial"/>
          <w:b/>
          <w:sz w:val="24"/>
        </w:rPr>
        <w:t xml:space="preserve"> </w:t>
      </w:r>
      <w:r w:rsidR="005A7AFA">
        <w:rPr>
          <w:rFonts w:ascii="Arial" w:hAnsi="Arial" w:cs="Arial"/>
          <w:b/>
          <w:sz w:val="24"/>
        </w:rPr>
        <w:t>1</w:t>
      </w:r>
      <w:r w:rsidR="00042AAB">
        <w:rPr>
          <w:rFonts w:ascii="Arial" w:hAnsi="Arial" w:cs="Arial"/>
          <w:b/>
          <w:sz w:val="24"/>
        </w:rPr>
        <w:t>7</w:t>
      </w:r>
      <w:r w:rsidRPr="00346CA9">
        <w:rPr>
          <w:rFonts w:ascii="Arial" w:hAnsi="Arial" w:cs="Arial"/>
          <w:b/>
          <w:sz w:val="24"/>
          <w:vertAlign w:val="superscript"/>
        </w:rPr>
        <w:t>th</w:t>
      </w:r>
      <w:r w:rsidRPr="00346CA9">
        <w:rPr>
          <w:rFonts w:ascii="Arial" w:hAnsi="Arial" w:cs="Arial"/>
          <w:b/>
          <w:sz w:val="24"/>
        </w:rPr>
        <w:t xml:space="preserve"> – </w:t>
      </w:r>
      <w:r w:rsidR="0082293B">
        <w:rPr>
          <w:rFonts w:ascii="Arial" w:hAnsi="Arial" w:cs="Arial"/>
          <w:b/>
          <w:sz w:val="24"/>
        </w:rPr>
        <w:t>26</w:t>
      </w:r>
      <w:r w:rsidR="0082293B" w:rsidRPr="0082293B">
        <w:rPr>
          <w:rFonts w:ascii="Arial" w:hAnsi="Arial" w:cs="Arial"/>
          <w:b/>
          <w:sz w:val="24"/>
          <w:vertAlign w:val="superscript"/>
        </w:rPr>
        <w:t>th</w:t>
      </w:r>
      <w:r w:rsidR="0082293B">
        <w:rPr>
          <w:rFonts w:ascii="Arial" w:hAnsi="Arial" w:cs="Arial"/>
          <w:b/>
          <w:sz w:val="24"/>
        </w:rPr>
        <w:t xml:space="preserve"> April</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23ADA57D"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1493C">
        <w:rPr>
          <w:rFonts w:cs="Arial"/>
          <w:sz w:val="22"/>
        </w:rPr>
        <w:t>On e</w:t>
      </w:r>
      <w:r w:rsidR="002F26C5">
        <w:rPr>
          <w:rFonts w:cs="Arial"/>
          <w:sz w:val="22"/>
        </w:rPr>
        <w:t xml:space="preserve">nabling </w:t>
      </w:r>
      <w:r w:rsidR="0051039F">
        <w:rPr>
          <w:rFonts w:cs="Arial"/>
          <w:sz w:val="22"/>
        </w:rPr>
        <w:t>RedCap</w:t>
      </w:r>
      <w:r w:rsidR="00B34539">
        <w:rPr>
          <w:rFonts w:cs="Arial"/>
          <w:sz w:val="22"/>
        </w:rPr>
        <w:t xml:space="preserve"> </w:t>
      </w:r>
      <w:r w:rsidR="0081493C">
        <w:rPr>
          <w:rFonts w:cs="Arial"/>
          <w:sz w:val="22"/>
        </w:rPr>
        <w:t>HPUE</w:t>
      </w:r>
    </w:p>
    <w:p w14:paraId="3C0E5A3C" w14:textId="14755F13"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51039F">
        <w:rPr>
          <w:rFonts w:cs="Arial"/>
          <w:sz w:val="22"/>
        </w:rPr>
        <w:t>8.1</w:t>
      </w:r>
    </w:p>
    <w:p w14:paraId="6D472829" w14:textId="33F473DE"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sidR="0051039F">
        <w:rPr>
          <w:rFonts w:eastAsia="SimSun" w:cs="Arial"/>
          <w:sz w:val="22"/>
          <w:lang w:eastAsia="zh-CN"/>
        </w:rPr>
        <w:t>Discussion</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76D0F7C7" w:rsidR="002E2B79" w:rsidRDefault="0017099A" w:rsidP="001D5F51">
      <w:pPr>
        <w:pBdr>
          <w:bottom w:val="single" w:sz="12" w:space="1" w:color="auto"/>
        </w:pBdr>
        <w:jc w:val="both"/>
        <w:rPr>
          <w:rFonts w:eastAsia="SimSun"/>
          <w:lang w:eastAsia="zh-CN"/>
        </w:rPr>
      </w:pPr>
      <w:r>
        <w:rPr>
          <w:rFonts w:eastAsia="SimSun"/>
          <w:lang w:eastAsia="zh-CN"/>
        </w:rPr>
        <w:t xml:space="preserve">During RAN4#99 RedCap HPUE was discussed </w:t>
      </w:r>
      <w:r w:rsidR="00DF7927">
        <w:rPr>
          <w:rFonts w:eastAsia="SimSun"/>
          <w:lang w:eastAsia="zh-CN"/>
        </w:rPr>
        <w:t xml:space="preserve">and as an outcome RAN tasked RAN4 to study how to enable HPUE including PC2 for RedCap in band agnostic way [1]. In this contribution we provide our </w:t>
      </w:r>
      <w:r w:rsidR="00AE4056">
        <w:rPr>
          <w:rFonts w:eastAsia="SimSun"/>
          <w:lang w:eastAsia="zh-CN"/>
        </w:rPr>
        <w:t xml:space="preserve">views on the possible ways to do this </w:t>
      </w:r>
      <w:proofErr w:type="gramStart"/>
      <w:r w:rsidR="00AE4056">
        <w:rPr>
          <w:rFonts w:eastAsia="SimSun"/>
          <w:lang w:eastAsia="zh-CN"/>
        </w:rPr>
        <w:t>and also</w:t>
      </w:r>
      <w:proofErr w:type="gramEnd"/>
      <w:r w:rsidR="00AE4056">
        <w:rPr>
          <w:rFonts w:eastAsia="SimSun"/>
          <w:lang w:eastAsia="zh-CN"/>
        </w:rPr>
        <w:t xml:space="preserve"> discuss related challenges.</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195DB3F8" w14:textId="6DFEF4DA" w:rsidR="003F7025" w:rsidRDefault="00A905ED" w:rsidP="003F7025">
      <w:pPr>
        <w:pStyle w:val="BodyText"/>
        <w:rPr>
          <w:lang w:eastAsia="zh-CN"/>
        </w:rPr>
      </w:pPr>
      <w:r>
        <w:rPr>
          <w:lang w:eastAsia="zh-CN"/>
        </w:rPr>
        <w:t>Generally enabling higher power class for an operating band requires consideration both Tx and Rx requirements</w:t>
      </w:r>
      <w:r w:rsidR="002E4CAC">
        <w:rPr>
          <w:lang w:eastAsia="zh-CN"/>
        </w:rPr>
        <w:t xml:space="preserve">. In transmitter side required A-MPR for any additional emission requirements is typically studied, and </w:t>
      </w:r>
      <w:r w:rsidR="008C750A">
        <w:rPr>
          <w:lang w:eastAsia="zh-CN"/>
        </w:rPr>
        <w:t xml:space="preserve">new A-MPR values are specified for higher power class. On receiver side reference sensitivity degradation </w:t>
      </w:r>
      <w:r w:rsidR="009D430D">
        <w:rPr>
          <w:lang w:eastAsia="zh-CN"/>
        </w:rPr>
        <w:t xml:space="preserve">(RSD) </w:t>
      </w:r>
      <w:r w:rsidR="008C750A">
        <w:rPr>
          <w:lang w:eastAsia="zh-CN"/>
        </w:rPr>
        <w:t>needs to be studied</w:t>
      </w:r>
      <w:r w:rsidR="0073195E">
        <w:rPr>
          <w:lang w:eastAsia="zh-CN"/>
        </w:rPr>
        <w:t xml:space="preserve">, as with higher transmitter power level the Tx-to-Rx leakage will increase and negatively impact reference sensitivity at least in cases where the </w:t>
      </w:r>
      <w:r w:rsidR="00524494">
        <w:rPr>
          <w:lang w:eastAsia="zh-CN"/>
        </w:rPr>
        <w:t>frequency separation between Tx and Rx is not sufficiently large.</w:t>
      </w:r>
    </w:p>
    <w:p w14:paraId="679C804D" w14:textId="70C89658" w:rsidR="00A60996" w:rsidRDefault="009D430D" w:rsidP="007F7781">
      <w:pPr>
        <w:pStyle w:val="BodyText"/>
        <w:spacing w:after="0"/>
        <w:rPr>
          <w:lang w:eastAsia="zh-CN"/>
        </w:rPr>
      </w:pPr>
      <w:r>
        <w:rPr>
          <w:lang w:eastAsia="zh-CN"/>
        </w:rPr>
        <w:t>Generally</w:t>
      </w:r>
      <w:r w:rsidR="002E30C0">
        <w:rPr>
          <w:lang w:eastAsia="zh-CN"/>
        </w:rPr>
        <w:t>,</w:t>
      </w:r>
      <w:r>
        <w:rPr>
          <w:lang w:eastAsia="zh-CN"/>
        </w:rPr>
        <w:t xml:space="preserve"> both A-MPR and RSD studies are band specific work</w:t>
      </w:r>
      <w:r w:rsidR="00292ADA">
        <w:rPr>
          <w:lang w:eastAsia="zh-CN"/>
        </w:rPr>
        <w:t>.</w:t>
      </w:r>
      <w:r>
        <w:rPr>
          <w:lang w:eastAsia="zh-CN"/>
        </w:rPr>
        <w:t xml:space="preserve"> </w:t>
      </w:r>
      <w:r w:rsidR="00292ADA">
        <w:rPr>
          <w:lang w:eastAsia="zh-CN"/>
        </w:rPr>
        <w:t xml:space="preserve">Additional emission requirements are </w:t>
      </w:r>
      <w:r w:rsidR="002C6B28">
        <w:rPr>
          <w:lang w:eastAsia="zh-CN"/>
        </w:rPr>
        <w:t>band specific, and therefore there is no straightforward general solution</w:t>
      </w:r>
      <w:r w:rsidR="004708F6">
        <w:rPr>
          <w:lang w:eastAsia="zh-CN"/>
        </w:rPr>
        <w:t xml:space="preserve"> available. Similarly duplex distance, PA noise level as well as</w:t>
      </w:r>
      <w:r w:rsidR="0062248E">
        <w:rPr>
          <w:lang w:eastAsia="zh-CN"/>
        </w:rPr>
        <w:t xml:space="preserve"> other component level performance metrics such as duplexer/filter rejection </w:t>
      </w:r>
      <w:r w:rsidR="007C13C8">
        <w:rPr>
          <w:lang w:eastAsia="zh-CN"/>
        </w:rPr>
        <w:t xml:space="preserve">differ between operating bands. </w:t>
      </w:r>
      <w:r w:rsidR="00827079">
        <w:rPr>
          <w:lang w:eastAsia="zh-CN"/>
        </w:rPr>
        <w:t>As a consequence</w:t>
      </w:r>
      <w:r w:rsidR="002E30C0">
        <w:rPr>
          <w:lang w:eastAsia="zh-CN"/>
        </w:rPr>
        <w:t>,</w:t>
      </w:r>
      <w:r w:rsidR="007C13C8">
        <w:rPr>
          <w:lang w:eastAsia="zh-CN"/>
        </w:rPr>
        <w:t xml:space="preserve"> RAN4 </w:t>
      </w:r>
      <w:r w:rsidR="00A60996">
        <w:rPr>
          <w:lang w:eastAsia="zh-CN"/>
        </w:rPr>
        <w:t xml:space="preserve">is putting a lot of effort in band specific analysis </w:t>
      </w:r>
      <w:proofErr w:type="gramStart"/>
      <w:r w:rsidR="00A60996">
        <w:rPr>
          <w:lang w:eastAsia="zh-CN"/>
        </w:rPr>
        <w:t>e.g.</w:t>
      </w:r>
      <w:proofErr w:type="gramEnd"/>
      <w:r w:rsidR="00A60996">
        <w:rPr>
          <w:lang w:eastAsia="zh-CN"/>
        </w:rPr>
        <w:t xml:space="preserve"> in defining PC2 for FDD operating bands.</w:t>
      </w:r>
    </w:p>
    <w:p w14:paraId="78E0744A" w14:textId="77777777" w:rsidR="00A60996" w:rsidRDefault="00A60996" w:rsidP="007F7781">
      <w:pPr>
        <w:pStyle w:val="BodyText"/>
        <w:spacing w:after="0"/>
        <w:rPr>
          <w:lang w:eastAsia="zh-CN"/>
        </w:rPr>
      </w:pPr>
    </w:p>
    <w:p w14:paraId="7064936A" w14:textId="6612E844" w:rsidR="00C919E0" w:rsidRDefault="00A60996" w:rsidP="007F7781">
      <w:pPr>
        <w:pStyle w:val="BodyText"/>
        <w:spacing w:after="0"/>
        <w:rPr>
          <w:b/>
          <w:bCs/>
          <w:lang w:eastAsia="zh-CN"/>
        </w:rPr>
      </w:pPr>
      <w:r w:rsidRPr="00A60996">
        <w:rPr>
          <w:b/>
          <w:bCs/>
          <w:lang w:eastAsia="zh-CN"/>
        </w:rPr>
        <w:t>Observation 1:</w:t>
      </w:r>
      <w:r>
        <w:rPr>
          <w:b/>
          <w:bCs/>
          <w:lang w:eastAsia="zh-CN"/>
        </w:rPr>
        <w:t xml:space="preserve"> Both A-MPR and RSD </w:t>
      </w:r>
      <w:r w:rsidR="00C919E0">
        <w:rPr>
          <w:b/>
          <w:bCs/>
          <w:lang w:eastAsia="zh-CN"/>
        </w:rPr>
        <w:t>are operating band specific.</w:t>
      </w:r>
    </w:p>
    <w:p w14:paraId="7E65724F" w14:textId="14DF3956" w:rsidR="00427C0A" w:rsidRDefault="00427C0A" w:rsidP="007F7781">
      <w:pPr>
        <w:pStyle w:val="BodyText"/>
        <w:spacing w:after="0"/>
        <w:rPr>
          <w:b/>
          <w:bCs/>
          <w:lang w:eastAsia="zh-CN"/>
        </w:rPr>
      </w:pPr>
    </w:p>
    <w:p w14:paraId="52A75CCD" w14:textId="4CDBDCDB" w:rsidR="00427C0A" w:rsidRPr="00427C0A" w:rsidRDefault="00053773" w:rsidP="007F7781">
      <w:pPr>
        <w:pStyle w:val="BodyText"/>
        <w:spacing w:after="0"/>
        <w:rPr>
          <w:lang w:eastAsia="zh-CN"/>
        </w:rPr>
      </w:pPr>
      <w:r>
        <w:rPr>
          <w:lang w:eastAsia="zh-CN"/>
        </w:rPr>
        <w:t>Allowing only HD-FDD HPUE could be considered, however this would help only with the RSD evaluation</w:t>
      </w:r>
      <w:r w:rsidR="00197344">
        <w:rPr>
          <w:lang w:eastAsia="zh-CN"/>
        </w:rPr>
        <w:t xml:space="preserve">s. A-MPR work would still need to be done </w:t>
      </w:r>
      <w:r w:rsidR="00EE31AC">
        <w:rPr>
          <w:lang w:eastAsia="zh-CN"/>
        </w:rPr>
        <w:t xml:space="preserve">so relying on HD-FDD is not a </w:t>
      </w:r>
      <w:proofErr w:type="gramStart"/>
      <w:r w:rsidR="00EE31AC">
        <w:rPr>
          <w:lang w:eastAsia="zh-CN"/>
        </w:rPr>
        <w:t>complete solutions</w:t>
      </w:r>
      <w:proofErr w:type="gramEnd"/>
      <w:r w:rsidR="00EE31AC">
        <w:rPr>
          <w:lang w:eastAsia="zh-CN"/>
        </w:rPr>
        <w:t>.</w:t>
      </w:r>
    </w:p>
    <w:p w14:paraId="1590B10E" w14:textId="77777777" w:rsidR="00427C0A" w:rsidRDefault="00427C0A" w:rsidP="007F7781">
      <w:pPr>
        <w:pStyle w:val="BodyText"/>
        <w:spacing w:after="0"/>
        <w:rPr>
          <w:b/>
          <w:bCs/>
          <w:lang w:eastAsia="zh-CN"/>
        </w:rPr>
      </w:pPr>
    </w:p>
    <w:p w14:paraId="0B14276B" w14:textId="4C8E9A82" w:rsidR="00427C0A" w:rsidRDefault="00427C0A" w:rsidP="007F7781">
      <w:pPr>
        <w:pStyle w:val="BodyText"/>
        <w:spacing w:after="0"/>
        <w:rPr>
          <w:b/>
          <w:bCs/>
          <w:lang w:eastAsia="zh-CN"/>
        </w:rPr>
      </w:pPr>
      <w:r>
        <w:rPr>
          <w:b/>
          <w:bCs/>
          <w:lang w:eastAsia="zh-CN"/>
        </w:rPr>
        <w:t xml:space="preserve">Observation 2: </w:t>
      </w:r>
      <w:r w:rsidR="00F14243">
        <w:rPr>
          <w:b/>
          <w:bCs/>
          <w:lang w:eastAsia="zh-CN"/>
        </w:rPr>
        <w:t xml:space="preserve">Enabling HPUE only for </w:t>
      </w:r>
      <w:r w:rsidR="00EE31AC">
        <w:rPr>
          <w:b/>
          <w:bCs/>
          <w:lang w:eastAsia="zh-CN"/>
        </w:rPr>
        <w:t xml:space="preserve">HD-FDD operation </w:t>
      </w:r>
      <w:r w:rsidR="00F14243">
        <w:rPr>
          <w:b/>
          <w:bCs/>
          <w:lang w:eastAsia="zh-CN"/>
        </w:rPr>
        <w:t>would still require A-MPR analysis.</w:t>
      </w:r>
    </w:p>
    <w:p w14:paraId="65711A0A" w14:textId="3F00DC7B" w:rsidR="002E30C0" w:rsidRDefault="002E30C0" w:rsidP="007F7781">
      <w:pPr>
        <w:pStyle w:val="BodyText"/>
        <w:spacing w:after="0"/>
        <w:rPr>
          <w:b/>
          <w:bCs/>
          <w:lang w:eastAsia="zh-CN"/>
        </w:rPr>
      </w:pPr>
    </w:p>
    <w:p w14:paraId="6AD5FB1B" w14:textId="76447087" w:rsidR="00C919E0" w:rsidRDefault="00926476" w:rsidP="007F7781">
      <w:pPr>
        <w:pStyle w:val="BodyText"/>
        <w:spacing w:after="0"/>
        <w:rPr>
          <w:lang w:eastAsia="zh-CN"/>
        </w:rPr>
      </w:pPr>
      <w:r>
        <w:rPr>
          <w:lang w:eastAsia="zh-CN"/>
        </w:rPr>
        <w:t xml:space="preserve">Because of the band specific nature of the </w:t>
      </w:r>
      <w:r w:rsidR="00B36CAE">
        <w:rPr>
          <w:lang w:eastAsia="zh-CN"/>
        </w:rPr>
        <w:t xml:space="preserve">requirements, it is challenging to have </w:t>
      </w:r>
      <w:proofErr w:type="gramStart"/>
      <w:r w:rsidR="00B36CAE">
        <w:rPr>
          <w:lang w:eastAsia="zh-CN"/>
        </w:rPr>
        <w:t>a</w:t>
      </w:r>
      <w:proofErr w:type="gramEnd"/>
      <w:r w:rsidR="00B36CAE">
        <w:rPr>
          <w:lang w:eastAsia="zh-CN"/>
        </w:rPr>
        <w:t xml:space="preserve"> increase the power level without doing the analysis. </w:t>
      </w:r>
      <w:r w:rsidR="002B0A9E">
        <w:rPr>
          <w:lang w:eastAsia="zh-CN"/>
        </w:rPr>
        <w:t xml:space="preserve">Next some possible options which could be utilized </w:t>
      </w:r>
      <w:r w:rsidR="00BC37E1">
        <w:rPr>
          <w:lang w:eastAsia="zh-CN"/>
        </w:rPr>
        <w:t xml:space="preserve">are discussed. </w:t>
      </w:r>
    </w:p>
    <w:p w14:paraId="3A9DE8C6" w14:textId="56F7C5FA" w:rsidR="00BC37E1" w:rsidRDefault="00BC37E1" w:rsidP="007F7781">
      <w:pPr>
        <w:pStyle w:val="BodyText"/>
        <w:spacing w:after="0"/>
        <w:rPr>
          <w:lang w:eastAsia="zh-CN"/>
        </w:rPr>
      </w:pPr>
    </w:p>
    <w:p w14:paraId="7A72DDAF" w14:textId="06F945A5" w:rsidR="00BC37E1" w:rsidRDefault="00BC37E1" w:rsidP="007F7781">
      <w:pPr>
        <w:pStyle w:val="BodyText"/>
        <w:spacing w:after="0"/>
        <w:rPr>
          <w:lang w:eastAsia="zh-CN"/>
        </w:rPr>
      </w:pPr>
      <w:r>
        <w:rPr>
          <w:lang w:eastAsia="zh-CN"/>
        </w:rPr>
        <w:t xml:space="preserve">As first option, it could be possible to allow </w:t>
      </w:r>
      <w:r w:rsidR="00C700E0">
        <w:rPr>
          <w:lang w:eastAsia="zh-CN"/>
        </w:rPr>
        <w:t xml:space="preserve">RedCap HPUE to have significant allowance for A-MPR and RSD. That is, </w:t>
      </w:r>
      <w:r w:rsidR="009A3E90">
        <w:rPr>
          <w:lang w:eastAsia="zh-CN"/>
        </w:rPr>
        <w:t xml:space="preserve">A-MPR and RSD would be essentially left up to the UE implementation or </w:t>
      </w:r>
      <w:r w:rsidR="00416408">
        <w:rPr>
          <w:lang w:eastAsia="zh-CN"/>
        </w:rPr>
        <w:t xml:space="preserve">increased so much that </w:t>
      </w:r>
      <w:r w:rsidR="00BC58BE">
        <w:rPr>
          <w:lang w:eastAsia="zh-CN"/>
        </w:rPr>
        <w:t xml:space="preserve">there would be no concerns on meeting the requirements. The downside of this option would be that </w:t>
      </w:r>
      <w:r w:rsidR="0007525A">
        <w:rPr>
          <w:lang w:eastAsia="zh-CN"/>
        </w:rPr>
        <w:t>guaranteed minimum performance could be very poor</w:t>
      </w:r>
      <w:r w:rsidR="007A2647">
        <w:rPr>
          <w:lang w:eastAsia="zh-CN"/>
        </w:rPr>
        <w:t xml:space="preserve"> and worse than for lower power class depending purely on implementation.</w:t>
      </w:r>
    </w:p>
    <w:p w14:paraId="23F17CC5" w14:textId="024C6364" w:rsidR="007A2647" w:rsidRDefault="007A2647" w:rsidP="007F7781">
      <w:pPr>
        <w:pStyle w:val="BodyText"/>
        <w:spacing w:after="0"/>
        <w:rPr>
          <w:lang w:eastAsia="zh-CN"/>
        </w:rPr>
      </w:pPr>
    </w:p>
    <w:p w14:paraId="478DB44A" w14:textId="7FF6025F" w:rsidR="007A2647" w:rsidRDefault="006A0EB0" w:rsidP="007F7781">
      <w:pPr>
        <w:pStyle w:val="BodyText"/>
        <w:spacing w:after="0"/>
        <w:rPr>
          <w:b/>
          <w:bCs/>
          <w:lang w:eastAsia="zh-CN"/>
        </w:rPr>
      </w:pPr>
      <w:r w:rsidRPr="006A0EB0">
        <w:rPr>
          <w:b/>
          <w:bCs/>
          <w:lang w:eastAsia="zh-CN"/>
        </w:rPr>
        <w:t xml:space="preserve">Observation </w:t>
      </w:r>
      <w:r w:rsidR="00427C0A">
        <w:rPr>
          <w:b/>
          <w:bCs/>
          <w:lang w:eastAsia="zh-CN"/>
        </w:rPr>
        <w:t>3</w:t>
      </w:r>
      <w:r w:rsidRPr="006A0EB0">
        <w:rPr>
          <w:b/>
          <w:bCs/>
          <w:lang w:eastAsia="zh-CN"/>
        </w:rPr>
        <w:t>:</w:t>
      </w:r>
      <w:r>
        <w:rPr>
          <w:b/>
          <w:bCs/>
          <w:lang w:eastAsia="zh-CN"/>
        </w:rPr>
        <w:t xml:space="preserve"> Band specific work could be avoided by giving sufficient A-MPR and RSD allowance to the UE.</w:t>
      </w:r>
    </w:p>
    <w:p w14:paraId="167AAD43" w14:textId="7B559756" w:rsidR="006A0EB0" w:rsidRDefault="006A0EB0" w:rsidP="007F7781">
      <w:pPr>
        <w:pStyle w:val="BodyText"/>
        <w:spacing w:after="0"/>
        <w:rPr>
          <w:b/>
          <w:bCs/>
          <w:lang w:eastAsia="zh-CN"/>
        </w:rPr>
      </w:pPr>
    </w:p>
    <w:p w14:paraId="1D9BC0B2" w14:textId="08B2A83D" w:rsidR="006A0EB0" w:rsidRDefault="009B2A2A" w:rsidP="007F7781">
      <w:pPr>
        <w:pStyle w:val="BodyText"/>
        <w:spacing w:after="0"/>
        <w:rPr>
          <w:lang w:eastAsia="zh-CN"/>
        </w:rPr>
      </w:pPr>
      <w:r w:rsidRPr="009B2A2A">
        <w:rPr>
          <w:lang w:eastAsia="zh-CN"/>
        </w:rPr>
        <w:t>Anoth</w:t>
      </w:r>
      <w:r>
        <w:rPr>
          <w:lang w:eastAsia="zh-CN"/>
        </w:rPr>
        <w:t xml:space="preserve">er option would be to </w:t>
      </w:r>
      <w:r w:rsidR="006527DA">
        <w:rPr>
          <w:lang w:eastAsia="zh-CN"/>
        </w:rPr>
        <w:t xml:space="preserve">lower the ambition level and aim to allow HPUE RedCap only for operating bands where regular NR UE </w:t>
      </w:r>
      <w:r w:rsidR="00A42147">
        <w:rPr>
          <w:lang w:eastAsia="zh-CN"/>
        </w:rPr>
        <w:t>has higher power class enabled. This would mean that the same A-MPR and RSD would be applied both for</w:t>
      </w:r>
      <w:r w:rsidR="003A1372">
        <w:rPr>
          <w:lang w:eastAsia="zh-CN"/>
        </w:rPr>
        <w:t xml:space="preserve"> regular UE and </w:t>
      </w:r>
      <w:r w:rsidR="00FD62E5">
        <w:rPr>
          <w:lang w:eastAsia="zh-CN"/>
        </w:rPr>
        <w:t xml:space="preserve">RedCap UE. However, this approach may not </w:t>
      </w:r>
      <w:r w:rsidR="00F03FB8">
        <w:rPr>
          <w:lang w:eastAsia="zh-CN"/>
        </w:rPr>
        <w:t xml:space="preserve">be applicable for RedCap UE with 1 Rx only. NR UE requirements may see limited degradation </w:t>
      </w:r>
      <w:r w:rsidR="00AC4DB5">
        <w:rPr>
          <w:lang w:eastAsia="zh-CN"/>
        </w:rPr>
        <w:t xml:space="preserve">in reference sensitivity due to always having diversity Rx. In 1 Rx RedCap UE </w:t>
      </w:r>
      <w:r w:rsidR="000A6427">
        <w:rPr>
          <w:lang w:eastAsia="zh-CN"/>
        </w:rPr>
        <w:t>help from diversity Rx is not available</w:t>
      </w:r>
      <w:r w:rsidR="00537485">
        <w:rPr>
          <w:lang w:eastAsia="zh-CN"/>
        </w:rPr>
        <w:t xml:space="preserve"> and </w:t>
      </w:r>
      <w:r w:rsidR="00E00780">
        <w:rPr>
          <w:lang w:eastAsia="zh-CN"/>
        </w:rPr>
        <w:t>RSD impact may be larger</w:t>
      </w:r>
      <w:r w:rsidR="000A6427">
        <w:rPr>
          <w:lang w:eastAsia="zh-CN"/>
        </w:rPr>
        <w:t>.</w:t>
      </w:r>
    </w:p>
    <w:p w14:paraId="6ED63EFD" w14:textId="2C3B56A3" w:rsidR="000A6427" w:rsidRDefault="000A6427" w:rsidP="007F7781">
      <w:pPr>
        <w:pStyle w:val="BodyText"/>
        <w:spacing w:after="0"/>
        <w:rPr>
          <w:lang w:eastAsia="zh-CN"/>
        </w:rPr>
      </w:pPr>
    </w:p>
    <w:p w14:paraId="59D0C019" w14:textId="69D98F99" w:rsidR="00FC47EE" w:rsidRDefault="000A6427" w:rsidP="007F7781">
      <w:pPr>
        <w:pStyle w:val="BodyText"/>
        <w:spacing w:after="0"/>
        <w:rPr>
          <w:lang w:eastAsia="zh-CN"/>
        </w:rPr>
      </w:pPr>
      <w:r>
        <w:rPr>
          <w:lang w:eastAsia="zh-CN"/>
        </w:rPr>
        <w:lastRenderedPageBreak/>
        <w:t>Secondly, regular NR UE may have Tx side implemented with 1 or 2 Tx chains</w:t>
      </w:r>
      <w:r w:rsidR="00CE4645">
        <w:rPr>
          <w:lang w:eastAsia="zh-CN"/>
        </w:rPr>
        <w:t>.</w:t>
      </w:r>
      <w:r w:rsidR="001C49F7">
        <w:rPr>
          <w:lang w:eastAsia="zh-CN"/>
        </w:rPr>
        <w:t xml:space="preserve"> </w:t>
      </w:r>
      <w:r w:rsidR="00CE4645">
        <w:rPr>
          <w:lang w:eastAsia="zh-CN"/>
        </w:rPr>
        <w:t xml:space="preserve">UL MIMO is not applicable for RedCap </w:t>
      </w:r>
      <w:r w:rsidR="00C97255">
        <w:rPr>
          <w:lang w:eastAsia="zh-CN"/>
        </w:rPr>
        <w:t xml:space="preserve">which reduces the value of having more than 1 Tx chain. </w:t>
      </w:r>
      <w:r w:rsidR="001C49F7">
        <w:rPr>
          <w:lang w:eastAsia="zh-CN"/>
        </w:rPr>
        <w:t xml:space="preserve">If regular NR UE A-MPR is derived using 2Tx, it </w:t>
      </w:r>
      <w:r w:rsidR="00C93DBC">
        <w:rPr>
          <w:lang w:eastAsia="zh-CN"/>
        </w:rPr>
        <w:t xml:space="preserve">seems technically questionable to automatically apply it to RedCap in case only 1 Tx for RedCap is assumed. Therefore, </w:t>
      </w:r>
      <w:r w:rsidR="00C655EF">
        <w:rPr>
          <w:lang w:eastAsia="zh-CN"/>
        </w:rPr>
        <w:t>Tx architecture for HPUE RedCap UE requires further discussion.</w:t>
      </w:r>
    </w:p>
    <w:p w14:paraId="663F2B92" w14:textId="77777777" w:rsidR="007F7781" w:rsidRDefault="007F7781" w:rsidP="007F7781">
      <w:pPr>
        <w:pStyle w:val="BodyText"/>
        <w:spacing w:before="120" w:after="0"/>
        <w:rPr>
          <w:b/>
          <w:bCs/>
          <w:lang w:eastAsia="zh-CN"/>
        </w:rPr>
      </w:pPr>
      <w:r w:rsidRPr="00FC47EE">
        <w:rPr>
          <w:b/>
          <w:bCs/>
          <w:lang w:eastAsia="zh-CN"/>
        </w:rPr>
        <w:t>Observation 4:</w:t>
      </w:r>
      <w:r>
        <w:rPr>
          <w:b/>
          <w:bCs/>
          <w:lang w:eastAsia="zh-CN"/>
        </w:rPr>
        <w:t xml:space="preserve"> Re-using RSD from regular NR UE may not be possible as RedCap UE may not have diversity Rx and may suffer from worse RSD.</w:t>
      </w:r>
    </w:p>
    <w:p w14:paraId="207778E7" w14:textId="166C100C" w:rsidR="007F7781" w:rsidRDefault="007F7781" w:rsidP="007F7781">
      <w:pPr>
        <w:pStyle w:val="BodyText"/>
        <w:spacing w:before="120" w:after="0"/>
        <w:rPr>
          <w:b/>
          <w:bCs/>
          <w:lang w:eastAsia="zh-CN"/>
        </w:rPr>
      </w:pPr>
      <w:r>
        <w:rPr>
          <w:b/>
          <w:bCs/>
          <w:lang w:eastAsia="zh-CN"/>
        </w:rPr>
        <w:t>Observation 5: Re-using A-MPR from regular NR UE requires further discussion on applicability of 1Tx vs. 2Tx for PC2 RedCap.</w:t>
      </w:r>
    </w:p>
    <w:p w14:paraId="4AB04FE9" w14:textId="1A8EA933" w:rsidR="000E1FA7" w:rsidRDefault="000E1FA7" w:rsidP="007F7781">
      <w:pPr>
        <w:pStyle w:val="BodyText"/>
        <w:spacing w:before="120" w:after="0"/>
        <w:rPr>
          <w:lang w:eastAsia="zh-CN"/>
        </w:rPr>
      </w:pPr>
      <w:r>
        <w:rPr>
          <w:lang w:eastAsia="zh-CN"/>
        </w:rPr>
        <w:t>Based on the discussion above, it seems that HPUE would be straightforward to enable only for TDD bands which do not have additional emission requirements. This means that there is no need for A-MPR studies, and due to the TDD operation also RSD is not an issue.</w:t>
      </w:r>
    </w:p>
    <w:p w14:paraId="7D018803" w14:textId="73758810" w:rsidR="000E1FA7" w:rsidRPr="000E1FA7" w:rsidRDefault="000E1FA7" w:rsidP="007F7781">
      <w:pPr>
        <w:pStyle w:val="BodyText"/>
        <w:spacing w:before="120" w:after="0"/>
        <w:rPr>
          <w:b/>
          <w:bCs/>
          <w:lang w:eastAsia="zh-CN"/>
        </w:rPr>
      </w:pPr>
      <w:r w:rsidRPr="000E1FA7">
        <w:rPr>
          <w:b/>
          <w:bCs/>
          <w:lang w:eastAsia="zh-CN"/>
        </w:rPr>
        <w:t>Observation 6:</w:t>
      </w:r>
      <w:r>
        <w:rPr>
          <w:b/>
          <w:bCs/>
          <w:lang w:eastAsia="zh-CN"/>
        </w:rPr>
        <w:t xml:space="preserve"> HPUE could be enabled in band-agnostic manner for TDD bands which do not have additional emission requirements.</w:t>
      </w:r>
    </w:p>
    <w:p w14:paraId="4ACCD7A1" w14:textId="2265E8DF" w:rsidR="00FC47EE" w:rsidRPr="00FC47EE" w:rsidRDefault="00FC47EE" w:rsidP="002E2B79">
      <w:pPr>
        <w:pStyle w:val="BodyText"/>
        <w:pBdr>
          <w:bottom w:val="single" w:sz="12" w:space="1" w:color="auto"/>
        </w:pBdr>
        <w:spacing w:after="0"/>
        <w:rPr>
          <w:b/>
          <w:bCs/>
          <w:lang w:eastAsia="zh-CN"/>
        </w:rPr>
      </w:pPr>
    </w:p>
    <w:p w14:paraId="51E18096" w14:textId="2B0B01CB" w:rsidR="00524494" w:rsidRPr="002863CC" w:rsidRDefault="004708F6" w:rsidP="002E2B79">
      <w:pPr>
        <w:pStyle w:val="BodyText"/>
        <w:pBdr>
          <w:bottom w:val="single" w:sz="12" w:space="1" w:color="auto"/>
        </w:pBdr>
        <w:spacing w:after="0"/>
        <w:rPr>
          <w:b/>
          <w:bCs/>
          <w:lang w:eastAsia="zh-CN"/>
        </w:rPr>
      </w:pPr>
      <w:r w:rsidRPr="00A60996">
        <w:rPr>
          <w:b/>
          <w:bCs/>
          <w:lang w:eastAsia="zh-CN"/>
        </w:rPr>
        <w:t xml:space="preserve"> </w:t>
      </w:r>
    </w:p>
    <w:p w14:paraId="65677DCC" w14:textId="77777777" w:rsidR="0026004D" w:rsidRDefault="0026004D"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429E510A" w14:textId="16C83D70" w:rsidR="005540D5" w:rsidRPr="00DA1D52" w:rsidRDefault="001D5F51" w:rsidP="003F7025">
      <w:pPr>
        <w:spacing w:after="60"/>
        <w:rPr>
          <w:lang w:val="en-US" w:eastAsia="zh-CN"/>
        </w:rPr>
      </w:pPr>
      <w:r w:rsidRPr="001D5F51">
        <w:rPr>
          <w:rFonts w:eastAsia="SimSun"/>
          <w:bCs/>
        </w:rPr>
        <w:t xml:space="preserve">In this </w:t>
      </w:r>
      <w:r w:rsidR="002863CC">
        <w:rPr>
          <w:rFonts w:eastAsia="SimSun"/>
          <w:bCs/>
        </w:rPr>
        <w:t xml:space="preserve">contribution </w:t>
      </w:r>
      <w:r w:rsidR="004664FD">
        <w:rPr>
          <w:rFonts w:eastAsia="SimSun"/>
          <w:bCs/>
        </w:rPr>
        <w:t>RAN task of enabling HPUE for RedCap in band-agnostic manner was discussed. Following observations were made.</w:t>
      </w:r>
    </w:p>
    <w:p w14:paraId="12BEBCB2" w14:textId="77777777" w:rsidR="00BF1728" w:rsidRDefault="00BF1728" w:rsidP="00BF1728">
      <w:pPr>
        <w:pStyle w:val="BodyText"/>
        <w:spacing w:before="120" w:after="0"/>
        <w:rPr>
          <w:b/>
          <w:bCs/>
          <w:lang w:eastAsia="zh-CN"/>
        </w:rPr>
      </w:pPr>
      <w:r w:rsidRPr="00A60996">
        <w:rPr>
          <w:b/>
          <w:bCs/>
          <w:lang w:eastAsia="zh-CN"/>
        </w:rPr>
        <w:t>Observation 1:</w:t>
      </w:r>
      <w:r>
        <w:rPr>
          <w:b/>
          <w:bCs/>
          <w:lang w:eastAsia="zh-CN"/>
        </w:rPr>
        <w:t xml:space="preserve"> Both A-MPR and RSD are operating band specific.</w:t>
      </w:r>
    </w:p>
    <w:p w14:paraId="20EDC78F" w14:textId="77777777" w:rsidR="00BF1728" w:rsidRDefault="00BF1728" w:rsidP="00BF1728">
      <w:pPr>
        <w:pStyle w:val="BodyText"/>
        <w:spacing w:before="120" w:after="0"/>
        <w:rPr>
          <w:b/>
          <w:bCs/>
          <w:lang w:eastAsia="zh-CN"/>
        </w:rPr>
      </w:pPr>
      <w:r>
        <w:rPr>
          <w:b/>
          <w:bCs/>
          <w:lang w:eastAsia="zh-CN"/>
        </w:rPr>
        <w:t>Observation 2: Enabling HPUE only for HD-FDD operation would still require A-MPR analysis.</w:t>
      </w:r>
    </w:p>
    <w:p w14:paraId="08213A3D" w14:textId="6FBE3A77" w:rsidR="00252F0A" w:rsidRDefault="00BF1728" w:rsidP="00BF1728">
      <w:pPr>
        <w:pStyle w:val="BodyText"/>
        <w:spacing w:before="120" w:after="0"/>
        <w:rPr>
          <w:b/>
          <w:bCs/>
          <w:lang w:eastAsia="zh-CN"/>
        </w:rPr>
      </w:pPr>
      <w:r w:rsidRPr="006A0EB0">
        <w:rPr>
          <w:b/>
          <w:bCs/>
          <w:lang w:eastAsia="zh-CN"/>
        </w:rPr>
        <w:t xml:space="preserve">Observation </w:t>
      </w:r>
      <w:r>
        <w:rPr>
          <w:b/>
          <w:bCs/>
          <w:lang w:eastAsia="zh-CN"/>
        </w:rPr>
        <w:t>3</w:t>
      </w:r>
      <w:r w:rsidRPr="006A0EB0">
        <w:rPr>
          <w:b/>
          <w:bCs/>
          <w:lang w:eastAsia="zh-CN"/>
        </w:rPr>
        <w:t>:</w:t>
      </w:r>
      <w:r>
        <w:rPr>
          <w:b/>
          <w:bCs/>
          <w:lang w:eastAsia="zh-CN"/>
        </w:rPr>
        <w:t xml:space="preserve"> Band specific work could be avoided by giving sufficient A-MPR and RSD allowance to the UE.</w:t>
      </w:r>
    </w:p>
    <w:p w14:paraId="07256088" w14:textId="15B9F3B9" w:rsidR="00252F0A" w:rsidRDefault="00252F0A" w:rsidP="00252F0A">
      <w:pPr>
        <w:pStyle w:val="BodyText"/>
        <w:spacing w:before="120" w:after="0"/>
        <w:rPr>
          <w:b/>
          <w:bCs/>
          <w:lang w:eastAsia="zh-CN"/>
        </w:rPr>
      </w:pPr>
      <w:r w:rsidRPr="00FC47EE">
        <w:rPr>
          <w:b/>
          <w:bCs/>
          <w:lang w:eastAsia="zh-CN"/>
        </w:rPr>
        <w:t>Observation 4:</w:t>
      </w:r>
      <w:r>
        <w:rPr>
          <w:b/>
          <w:bCs/>
          <w:lang w:eastAsia="zh-CN"/>
        </w:rPr>
        <w:t xml:space="preserve"> Re-using RSD from regular NR UE may not be possible as RedCap UE may not have diversity Rx and may suffer from worse RSD.</w:t>
      </w:r>
    </w:p>
    <w:p w14:paraId="3FF50405" w14:textId="554617AC" w:rsidR="00252F0A" w:rsidRPr="00FC47EE" w:rsidRDefault="00252F0A" w:rsidP="00252F0A">
      <w:pPr>
        <w:pStyle w:val="BodyText"/>
        <w:spacing w:before="120" w:after="0"/>
        <w:rPr>
          <w:b/>
          <w:bCs/>
          <w:lang w:eastAsia="zh-CN"/>
        </w:rPr>
      </w:pPr>
      <w:r>
        <w:rPr>
          <w:b/>
          <w:bCs/>
          <w:lang w:eastAsia="zh-CN"/>
        </w:rPr>
        <w:t xml:space="preserve">Observation 5: </w:t>
      </w:r>
      <w:r w:rsidR="003A723E">
        <w:rPr>
          <w:b/>
          <w:bCs/>
          <w:lang w:eastAsia="zh-CN"/>
        </w:rPr>
        <w:t xml:space="preserve">Re-using A-MPR from regular NR UE </w:t>
      </w:r>
      <w:r w:rsidR="007F7781">
        <w:rPr>
          <w:b/>
          <w:bCs/>
          <w:lang w:eastAsia="zh-CN"/>
        </w:rPr>
        <w:t>requires further discussion on a</w:t>
      </w:r>
      <w:r>
        <w:rPr>
          <w:b/>
          <w:bCs/>
          <w:lang w:eastAsia="zh-CN"/>
        </w:rPr>
        <w:t>pplicability of 1Tx vs. 2Tx for PC2 RedCap</w:t>
      </w:r>
    </w:p>
    <w:p w14:paraId="1990EE35" w14:textId="77777777" w:rsidR="000E1FA7" w:rsidRPr="000E1FA7" w:rsidRDefault="000E1FA7" w:rsidP="000E1FA7">
      <w:pPr>
        <w:pStyle w:val="BodyText"/>
        <w:spacing w:before="120" w:after="0"/>
        <w:rPr>
          <w:b/>
          <w:bCs/>
          <w:lang w:eastAsia="zh-CN"/>
        </w:rPr>
      </w:pPr>
      <w:r w:rsidRPr="000E1FA7">
        <w:rPr>
          <w:b/>
          <w:bCs/>
          <w:lang w:eastAsia="zh-CN"/>
        </w:rPr>
        <w:t>Observation 6:</w:t>
      </w:r>
      <w:r>
        <w:rPr>
          <w:b/>
          <w:bCs/>
          <w:lang w:eastAsia="zh-CN"/>
        </w:rPr>
        <w:t xml:space="preserve"> HPUE could be enabled in band-agnostic manner for TDD bands which do not have additional emission requirements.</w:t>
      </w:r>
    </w:p>
    <w:p w14:paraId="170F0AEE" w14:textId="77777777" w:rsidR="00DA1D52" w:rsidRPr="00252F0A" w:rsidRDefault="00DA1D52" w:rsidP="00D83743">
      <w:pPr>
        <w:spacing w:after="60"/>
        <w:rPr>
          <w:b/>
          <w:bCs/>
          <w:lang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6A339A64" w14:textId="4D63D359" w:rsidR="003F7025" w:rsidRDefault="002E2B79" w:rsidP="0017099A">
      <w:pPr>
        <w:pStyle w:val="BodyText"/>
        <w:ind w:left="432" w:hanging="432"/>
        <w:rPr>
          <w:lang w:eastAsia="zh-CN"/>
        </w:rPr>
      </w:pPr>
      <w:r>
        <w:rPr>
          <w:lang w:eastAsia="zh-CN"/>
        </w:rPr>
        <w:t>[1]</w:t>
      </w:r>
      <w:r w:rsidR="00A31B38">
        <w:rPr>
          <w:lang w:eastAsia="zh-CN"/>
        </w:rPr>
        <w:tab/>
      </w:r>
      <w:r>
        <w:rPr>
          <w:lang w:eastAsia="zh-CN"/>
        </w:rPr>
        <w:t>R</w:t>
      </w:r>
      <w:r w:rsidR="00D83743">
        <w:rPr>
          <w:lang w:eastAsia="zh-CN"/>
        </w:rPr>
        <w:t>P-</w:t>
      </w:r>
      <w:r w:rsidR="00A74405">
        <w:rPr>
          <w:lang w:eastAsia="zh-CN"/>
        </w:rPr>
        <w:t xml:space="preserve">230763, Summary of offline drafting discussion for RAN4 spectrum related WI proposals, 3GPP RAN </w:t>
      </w:r>
      <w:r w:rsidR="0017099A">
        <w:rPr>
          <w:lang w:eastAsia="zh-CN"/>
        </w:rPr>
        <w:t>WG4 Chair</w:t>
      </w:r>
    </w:p>
    <w:p w14:paraId="09AFD23B" w14:textId="77777777" w:rsidR="0017099A" w:rsidRPr="00A819CB" w:rsidRDefault="0017099A" w:rsidP="0017099A">
      <w:pPr>
        <w:pStyle w:val="BodyText"/>
        <w:ind w:left="432" w:hanging="432"/>
        <w:rPr>
          <w:rFonts w:ascii="Arial" w:eastAsia="SimSun" w:hAnsi="Arial" w:cs="Arial"/>
          <w:b/>
        </w:rPr>
      </w:pPr>
    </w:p>
    <w:p w14:paraId="0034D224" w14:textId="433CBD00" w:rsidR="000561BD" w:rsidRPr="00A819CB" w:rsidRDefault="000561BD" w:rsidP="00A819CB">
      <w:pPr>
        <w:pStyle w:val="BodyText"/>
        <w:rPr>
          <w:rFonts w:ascii="Arial" w:eastAsia="SimSun" w:hAnsi="Arial" w:cs="Arial"/>
          <w:b/>
        </w:rPr>
      </w:pPr>
    </w:p>
    <w:sectPr w:rsidR="000561B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8BE4" w14:textId="77777777" w:rsidR="00C14EC4" w:rsidRDefault="00C14EC4">
      <w:r>
        <w:separator/>
      </w:r>
    </w:p>
  </w:endnote>
  <w:endnote w:type="continuationSeparator" w:id="0">
    <w:p w14:paraId="6AB9B5FC" w14:textId="77777777" w:rsidR="00C14EC4" w:rsidRDefault="00C1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DDC5F" w14:textId="77777777" w:rsidR="00C14EC4" w:rsidRDefault="00C14EC4">
      <w:r>
        <w:separator/>
      </w:r>
    </w:p>
  </w:footnote>
  <w:footnote w:type="continuationSeparator" w:id="0">
    <w:p w14:paraId="45DF8CE9" w14:textId="77777777" w:rsidR="00C14EC4" w:rsidRDefault="00C14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4"/>
  </w:num>
  <w:num w:numId="2" w16cid:durableId="880283274">
    <w:abstractNumId w:val="6"/>
  </w:num>
  <w:num w:numId="3" w16cid:durableId="536506569">
    <w:abstractNumId w:val="12"/>
  </w:num>
  <w:num w:numId="4" w16cid:durableId="372996091">
    <w:abstractNumId w:val="5"/>
  </w:num>
  <w:num w:numId="5" w16cid:durableId="604771492">
    <w:abstractNumId w:val="8"/>
  </w:num>
  <w:num w:numId="6" w16cid:durableId="1131510691">
    <w:abstractNumId w:val="3"/>
  </w:num>
  <w:num w:numId="7" w16cid:durableId="1870142268">
    <w:abstractNumId w:val="11"/>
  </w:num>
  <w:num w:numId="8" w16cid:durableId="1062824674">
    <w:abstractNumId w:val="0"/>
  </w:num>
  <w:num w:numId="9" w16cid:durableId="1008680662">
    <w:abstractNumId w:val="9"/>
  </w:num>
  <w:num w:numId="10" w16cid:durableId="1656226729">
    <w:abstractNumId w:val="13"/>
  </w:num>
  <w:num w:numId="11" w16cid:durableId="994261482">
    <w:abstractNumId w:val="1"/>
  </w:num>
  <w:num w:numId="12" w16cid:durableId="322927199">
    <w:abstractNumId w:val="2"/>
  </w:num>
  <w:num w:numId="13" w16cid:durableId="405802521">
    <w:abstractNumId w:val="10"/>
  </w:num>
  <w:num w:numId="14" w16cid:durableId="829182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A9C"/>
    <w:rsid w:val="00002B27"/>
    <w:rsid w:val="00003DA0"/>
    <w:rsid w:val="00003DA3"/>
    <w:rsid w:val="00003DB1"/>
    <w:rsid w:val="000051AC"/>
    <w:rsid w:val="000051D9"/>
    <w:rsid w:val="0000520B"/>
    <w:rsid w:val="000052CE"/>
    <w:rsid w:val="00005790"/>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4DF"/>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539"/>
    <w:rsid w:val="00050B97"/>
    <w:rsid w:val="00050F40"/>
    <w:rsid w:val="00051299"/>
    <w:rsid w:val="00051975"/>
    <w:rsid w:val="00051BEE"/>
    <w:rsid w:val="00051C3D"/>
    <w:rsid w:val="00051F83"/>
    <w:rsid w:val="00052D7D"/>
    <w:rsid w:val="0005324A"/>
    <w:rsid w:val="00053773"/>
    <w:rsid w:val="0005392E"/>
    <w:rsid w:val="00053CA7"/>
    <w:rsid w:val="00053E45"/>
    <w:rsid w:val="000561BD"/>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25A"/>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427"/>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FA7"/>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412"/>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99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344"/>
    <w:rsid w:val="00197FAF"/>
    <w:rsid w:val="001A17BD"/>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49F7"/>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2F0A"/>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3CC"/>
    <w:rsid w:val="0028688D"/>
    <w:rsid w:val="00287258"/>
    <w:rsid w:val="002875A3"/>
    <w:rsid w:val="00287821"/>
    <w:rsid w:val="00290038"/>
    <w:rsid w:val="00290D3F"/>
    <w:rsid w:val="002911E0"/>
    <w:rsid w:val="0029153A"/>
    <w:rsid w:val="00292339"/>
    <w:rsid w:val="00292749"/>
    <w:rsid w:val="00292A36"/>
    <w:rsid w:val="00292ADA"/>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A9E"/>
    <w:rsid w:val="002B0C5C"/>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B28"/>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0C0"/>
    <w:rsid w:val="002E3A98"/>
    <w:rsid w:val="002E3DAD"/>
    <w:rsid w:val="002E3E1A"/>
    <w:rsid w:val="002E4CAC"/>
    <w:rsid w:val="002E4EFA"/>
    <w:rsid w:val="002E5284"/>
    <w:rsid w:val="002E5579"/>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6C5"/>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25BD"/>
    <w:rsid w:val="00312D0C"/>
    <w:rsid w:val="00312E0D"/>
    <w:rsid w:val="00313F78"/>
    <w:rsid w:val="00314657"/>
    <w:rsid w:val="00314EDE"/>
    <w:rsid w:val="0031517D"/>
    <w:rsid w:val="0031650D"/>
    <w:rsid w:val="003166E0"/>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27BBF"/>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838"/>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372"/>
    <w:rsid w:val="003A1F2E"/>
    <w:rsid w:val="003A210A"/>
    <w:rsid w:val="003A21E8"/>
    <w:rsid w:val="003A22FE"/>
    <w:rsid w:val="003A3548"/>
    <w:rsid w:val="003A3666"/>
    <w:rsid w:val="003A38BD"/>
    <w:rsid w:val="003A3BA2"/>
    <w:rsid w:val="003A3FEC"/>
    <w:rsid w:val="003A4125"/>
    <w:rsid w:val="003A41E6"/>
    <w:rsid w:val="003A6050"/>
    <w:rsid w:val="003A64A1"/>
    <w:rsid w:val="003A65D2"/>
    <w:rsid w:val="003A6604"/>
    <w:rsid w:val="003A6636"/>
    <w:rsid w:val="003A694F"/>
    <w:rsid w:val="003A6F6E"/>
    <w:rsid w:val="003A70DB"/>
    <w:rsid w:val="003A723E"/>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025"/>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4D28"/>
    <w:rsid w:val="0041519F"/>
    <w:rsid w:val="00415824"/>
    <w:rsid w:val="00416408"/>
    <w:rsid w:val="00416A02"/>
    <w:rsid w:val="00416BFF"/>
    <w:rsid w:val="004170AE"/>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C0A"/>
    <w:rsid w:val="00427FCE"/>
    <w:rsid w:val="004300E3"/>
    <w:rsid w:val="0043045B"/>
    <w:rsid w:val="004308B1"/>
    <w:rsid w:val="00430D8E"/>
    <w:rsid w:val="00431201"/>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4FD"/>
    <w:rsid w:val="00466B82"/>
    <w:rsid w:val="00466FFE"/>
    <w:rsid w:val="00467030"/>
    <w:rsid w:val="004708F6"/>
    <w:rsid w:val="00470A92"/>
    <w:rsid w:val="00470D11"/>
    <w:rsid w:val="00470FA4"/>
    <w:rsid w:val="00471233"/>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39F"/>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9C4"/>
    <w:rsid w:val="00523096"/>
    <w:rsid w:val="00523797"/>
    <w:rsid w:val="005237D0"/>
    <w:rsid w:val="0052387F"/>
    <w:rsid w:val="00524418"/>
    <w:rsid w:val="00524494"/>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485"/>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E81"/>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4F5"/>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48E"/>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27D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0EB0"/>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08E1"/>
    <w:rsid w:val="007121D5"/>
    <w:rsid w:val="007123FC"/>
    <w:rsid w:val="00712602"/>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195E"/>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3B8"/>
    <w:rsid w:val="007A2647"/>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3C8"/>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7F7781"/>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93C"/>
    <w:rsid w:val="00814B3B"/>
    <w:rsid w:val="008151DB"/>
    <w:rsid w:val="00816C1D"/>
    <w:rsid w:val="00816E93"/>
    <w:rsid w:val="008172E4"/>
    <w:rsid w:val="00817F89"/>
    <w:rsid w:val="0082079E"/>
    <w:rsid w:val="00820C58"/>
    <w:rsid w:val="00821925"/>
    <w:rsid w:val="00822724"/>
    <w:rsid w:val="0082293B"/>
    <w:rsid w:val="00822A24"/>
    <w:rsid w:val="008230D1"/>
    <w:rsid w:val="008239C4"/>
    <w:rsid w:val="0082470D"/>
    <w:rsid w:val="0082472A"/>
    <w:rsid w:val="0082475F"/>
    <w:rsid w:val="00824781"/>
    <w:rsid w:val="0082483A"/>
    <w:rsid w:val="00824E1B"/>
    <w:rsid w:val="00825F53"/>
    <w:rsid w:val="00826B8F"/>
    <w:rsid w:val="00827079"/>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A9C"/>
    <w:rsid w:val="0088159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233"/>
    <w:rsid w:val="008B66B3"/>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50A"/>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26476"/>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2EB0"/>
    <w:rsid w:val="00944258"/>
    <w:rsid w:val="0094449E"/>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2CD3"/>
    <w:rsid w:val="009A3CAD"/>
    <w:rsid w:val="009A3E90"/>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2A2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430D"/>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147"/>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996"/>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C5"/>
    <w:rsid w:val="00A71DD9"/>
    <w:rsid w:val="00A72B0F"/>
    <w:rsid w:val="00A73FB8"/>
    <w:rsid w:val="00A743D3"/>
    <w:rsid w:val="00A74405"/>
    <w:rsid w:val="00A748E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05ED"/>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4DB5"/>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056"/>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CAE"/>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BD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97DD1"/>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7E1"/>
    <w:rsid w:val="00BC3959"/>
    <w:rsid w:val="00BC3C65"/>
    <w:rsid w:val="00BC418B"/>
    <w:rsid w:val="00BC4413"/>
    <w:rsid w:val="00BC4588"/>
    <w:rsid w:val="00BC4833"/>
    <w:rsid w:val="00BC52F2"/>
    <w:rsid w:val="00BC5753"/>
    <w:rsid w:val="00BC58BE"/>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065"/>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1728"/>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4EC4"/>
    <w:rsid w:val="00C15194"/>
    <w:rsid w:val="00C15660"/>
    <w:rsid w:val="00C15A48"/>
    <w:rsid w:val="00C15C00"/>
    <w:rsid w:val="00C1613A"/>
    <w:rsid w:val="00C1639A"/>
    <w:rsid w:val="00C1649F"/>
    <w:rsid w:val="00C16BAB"/>
    <w:rsid w:val="00C16D40"/>
    <w:rsid w:val="00C17F96"/>
    <w:rsid w:val="00C20219"/>
    <w:rsid w:val="00C203BD"/>
    <w:rsid w:val="00C20930"/>
    <w:rsid w:val="00C20B25"/>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F32"/>
    <w:rsid w:val="00C65374"/>
    <w:rsid w:val="00C653F9"/>
    <w:rsid w:val="00C65420"/>
    <w:rsid w:val="00C655EF"/>
    <w:rsid w:val="00C65A84"/>
    <w:rsid w:val="00C66702"/>
    <w:rsid w:val="00C66BDE"/>
    <w:rsid w:val="00C67842"/>
    <w:rsid w:val="00C67861"/>
    <w:rsid w:val="00C700E0"/>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7C98"/>
    <w:rsid w:val="00C87E03"/>
    <w:rsid w:val="00C90552"/>
    <w:rsid w:val="00C908A8"/>
    <w:rsid w:val="00C910C7"/>
    <w:rsid w:val="00C919E0"/>
    <w:rsid w:val="00C92496"/>
    <w:rsid w:val="00C92FF1"/>
    <w:rsid w:val="00C934EF"/>
    <w:rsid w:val="00C93D56"/>
    <w:rsid w:val="00C93D5A"/>
    <w:rsid w:val="00C93DBC"/>
    <w:rsid w:val="00C940CB"/>
    <w:rsid w:val="00C944A3"/>
    <w:rsid w:val="00C958CC"/>
    <w:rsid w:val="00C96EB4"/>
    <w:rsid w:val="00C97255"/>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C7FD5"/>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99"/>
    <w:rsid w:val="00CE1FF8"/>
    <w:rsid w:val="00CE250D"/>
    <w:rsid w:val="00CE2C31"/>
    <w:rsid w:val="00CE3564"/>
    <w:rsid w:val="00CE39D5"/>
    <w:rsid w:val="00CE3B19"/>
    <w:rsid w:val="00CE4645"/>
    <w:rsid w:val="00CE477F"/>
    <w:rsid w:val="00CE4A61"/>
    <w:rsid w:val="00CE562F"/>
    <w:rsid w:val="00CE5BBA"/>
    <w:rsid w:val="00CE5FE4"/>
    <w:rsid w:val="00CE6654"/>
    <w:rsid w:val="00CE7E61"/>
    <w:rsid w:val="00CF05CC"/>
    <w:rsid w:val="00CF0D82"/>
    <w:rsid w:val="00CF0DF3"/>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B78"/>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927"/>
    <w:rsid w:val="00DF7C61"/>
    <w:rsid w:val="00DF7FBB"/>
    <w:rsid w:val="00E00780"/>
    <w:rsid w:val="00E00A30"/>
    <w:rsid w:val="00E01981"/>
    <w:rsid w:val="00E01F1D"/>
    <w:rsid w:val="00E02126"/>
    <w:rsid w:val="00E02374"/>
    <w:rsid w:val="00E024F2"/>
    <w:rsid w:val="00E02EA0"/>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1AC"/>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3FB8"/>
    <w:rsid w:val="00F041EB"/>
    <w:rsid w:val="00F0630F"/>
    <w:rsid w:val="00F06E85"/>
    <w:rsid w:val="00F079FB"/>
    <w:rsid w:val="00F07D4C"/>
    <w:rsid w:val="00F10B2B"/>
    <w:rsid w:val="00F114ED"/>
    <w:rsid w:val="00F11554"/>
    <w:rsid w:val="00F116B5"/>
    <w:rsid w:val="00F11F98"/>
    <w:rsid w:val="00F12122"/>
    <w:rsid w:val="00F1359F"/>
    <w:rsid w:val="00F140CD"/>
    <w:rsid w:val="00F14243"/>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58C7"/>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31A"/>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C68"/>
    <w:rsid w:val="00FC2F88"/>
    <w:rsid w:val="00FC32EE"/>
    <w:rsid w:val="00FC47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F7E"/>
    <w:rsid w:val="00FD62E5"/>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2.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3.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54</TotalTime>
  <Pages>2</Pages>
  <Words>829</Words>
  <Characters>4272</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71</cp:revision>
  <cp:lastPrinted>2013-04-01T04:20:00Z</cp:lastPrinted>
  <dcterms:created xsi:type="dcterms:W3CDTF">2023-04-07T12:56:00Z</dcterms:created>
  <dcterms:modified xsi:type="dcterms:W3CDTF">2023-04-10T13:12:00Z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